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an ESG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ESG simulation</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https://www.finsimco.com/business-schools/simulations/esg</w:t>
        </w:r>
      </w:hyperlink>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Duration: 3 to 4 hours.</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Setup:</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Students are organized into teams, each consisting of 2 to 3 members</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Teams experience the clash of incentives when integrating ESG by assuming the roles of key stakeholders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The difficulty level of the simulation adjusts based on performance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Grading: Assessment is based on the teams' ability to reach an agreement, as well as the practicality and favorability of the terms they agree upon.</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ESG Principles and Frameworks</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Environmental Sustainability</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Governance and Ethical Practices</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ESG Integration in Investment</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ESG Reporting and Transparency</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Stakeholder Engagement</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8">
      <w:pPr>
        <w:widowControl w:val="0"/>
        <w:numPr>
          <w:ilvl w:val="0"/>
          <w:numId w:val="2"/>
        </w:numPr>
        <w:spacing w:line="240" w:lineRule="auto"/>
        <w:ind w:left="720" w:hanging="360"/>
      </w:pPr>
      <w:r w:rsidDel="00000000" w:rsidR="00000000" w:rsidRPr="00000000">
        <w:rPr>
          <w:rtl w:val="0"/>
        </w:rPr>
        <w:t xml:space="preserve">Grasp the core principles and significance of ESG in business and investment decisions</w:t>
      </w:r>
    </w:p>
    <w:p w:rsidR="00000000" w:rsidDel="00000000" w:rsidP="00000000" w:rsidRDefault="00000000" w:rsidRPr="00000000" w14:paraId="00000039">
      <w:pPr>
        <w:widowControl w:val="0"/>
        <w:numPr>
          <w:ilvl w:val="0"/>
          <w:numId w:val="2"/>
        </w:numPr>
        <w:spacing w:line="240" w:lineRule="auto"/>
        <w:ind w:left="720" w:hanging="360"/>
      </w:pPr>
      <w:r w:rsidDel="00000000" w:rsidR="00000000" w:rsidRPr="00000000">
        <w:rPr>
          <w:rtl w:val="0"/>
        </w:rPr>
        <w:t xml:space="preserve">Identify key environmental factors impacting a company's operations and sustainability</w:t>
      </w:r>
    </w:p>
    <w:p w:rsidR="00000000" w:rsidDel="00000000" w:rsidP="00000000" w:rsidRDefault="00000000" w:rsidRPr="00000000" w14:paraId="0000003A">
      <w:pPr>
        <w:widowControl w:val="0"/>
        <w:numPr>
          <w:ilvl w:val="0"/>
          <w:numId w:val="2"/>
        </w:numPr>
        <w:spacing w:line="240" w:lineRule="auto"/>
        <w:ind w:left="720" w:hanging="360"/>
      </w:pPr>
      <w:r w:rsidDel="00000000" w:rsidR="00000000" w:rsidRPr="00000000">
        <w:rPr>
          <w:rtl w:val="0"/>
        </w:rPr>
        <w:t xml:space="preserve">Evaluate the governance structure of organizations in terms of transparency, accountability, and ethical practices</w:t>
      </w:r>
    </w:p>
    <w:p w:rsidR="00000000" w:rsidDel="00000000" w:rsidP="00000000" w:rsidRDefault="00000000" w:rsidRPr="00000000" w14:paraId="0000003B">
      <w:pPr>
        <w:widowControl w:val="0"/>
        <w:numPr>
          <w:ilvl w:val="0"/>
          <w:numId w:val="2"/>
        </w:numPr>
        <w:spacing w:line="240" w:lineRule="auto"/>
        <w:ind w:left="720" w:hanging="360"/>
      </w:pPr>
      <w:r w:rsidDel="00000000" w:rsidR="00000000" w:rsidRPr="00000000">
        <w:rPr>
          <w:rtl w:val="0"/>
        </w:rPr>
        <w:t xml:space="preserve">Analyze how ESG considerations can influence investment decisions and risk assessment</w:t>
      </w:r>
    </w:p>
    <w:p w:rsidR="00000000" w:rsidDel="00000000" w:rsidP="00000000" w:rsidRDefault="00000000" w:rsidRPr="00000000" w14:paraId="0000003C">
      <w:pPr>
        <w:widowControl w:val="0"/>
        <w:numPr>
          <w:ilvl w:val="0"/>
          <w:numId w:val="2"/>
        </w:numPr>
        <w:spacing w:line="240" w:lineRule="auto"/>
        <w:ind w:left="720" w:hanging="360"/>
      </w:pPr>
      <w:r w:rsidDel="00000000" w:rsidR="00000000" w:rsidRPr="00000000">
        <w:rPr>
          <w:rtl w:val="0"/>
        </w:rPr>
        <w:t xml:space="preserve">Identify metrics and frameworks used to measure and report ESG performance</w:t>
      </w:r>
    </w:p>
    <w:p w:rsidR="00000000" w:rsidDel="00000000" w:rsidP="00000000" w:rsidRDefault="00000000" w:rsidRPr="00000000" w14:paraId="0000003D">
      <w:pPr>
        <w:widowControl w:val="0"/>
        <w:numPr>
          <w:ilvl w:val="0"/>
          <w:numId w:val="2"/>
        </w:numPr>
        <w:spacing w:line="240" w:lineRule="auto"/>
        <w:ind w:left="720" w:hanging="360"/>
      </w:pPr>
      <w:r w:rsidDel="00000000" w:rsidR="00000000" w:rsidRPr="00000000">
        <w:rPr>
          <w:rtl w:val="0"/>
        </w:rPr>
        <w:t xml:space="preserve">Assess the potential benefits and challenges of adopting ESG practices for companies and investors</w:t>
      </w:r>
    </w:p>
    <w:p w:rsidR="00000000" w:rsidDel="00000000" w:rsidP="00000000" w:rsidRDefault="00000000" w:rsidRPr="00000000" w14:paraId="0000003E">
      <w:pPr>
        <w:widowControl w:val="0"/>
        <w:numPr>
          <w:ilvl w:val="0"/>
          <w:numId w:val="2"/>
        </w:numPr>
        <w:spacing w:line="240" w:lineRule="auto"/>
        <w:ind w:left="720" w:hanging="360"/>
      </w:pPr>
      <w:r w:rsidDel="00000000" w:rsidR="00000000" w:rsidRPr="00000000">
        <w:rPr>
          <w:rtl w:val="0"/>
        </w:rPr>
        <w:t xml:space="preserve">Discuss real-world case studies highlighting successful ESG implementation and its outcomes</w:t>
      </w:r>
    </w:p>
    <w:p w:rsidR="00000000" w:rsidDel="00000000" w:rsidP="00000000" w:rsidRDefault="00000000" w:rsidRPr="00000000" w14:paraId="0000003F">
      <w:pPr>
        <w:widowControl w:val="0"/>
        <w:numPr>
          <w:ilvl w:val="0"/>
          <w:numId w:val="2"/>
        </w:numPr>
        <w:spacing w:line="240" w:lineRule="auto"/>
        <w:ind w:left="720" w:hanging="360"/>
      </w:pPr>
      <w:r w:rsidDel="00000000" w:rsidR="00000000" w:rsidRPr="00000000">
        <w:rPr>
          <w:rtl w:val="0"/>
        </w:rPr>
        <w:t xml:space="preserve">Collaborate to formulate ESG action plans that align with ethical values and stakeholder interests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e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